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A737" w14:textId="77777777" w:rsidR="004C0FA0" w:rsidRDefault="00846350">
      <w:pPr>
        <w:jc w:val="center"/>
        <w:rPr>
          <w:b/>
          <w:sz w:val="28"/>
        </w:rPr>
      </w:pPr>
      <w:r>
        <w:rPr>
          <w:b/>
          <w:sz w:val="28"/>
        </w:rPr>
        <w:t>Risk and Return</w:t>
      </w:r>
      <w:r w:rsidR="00ED7BDC">
        <w:rPr>
          <w:b/>
          <w:sz w:val="28"/>
        </w:rPr>
        <w:t xml:space="preserve"> – Chapt. 10 in RWJ</w:t>
      </w:r>
      <w:r w:rsidR="00A30AD7">
        <w:rPr>
          <w:b/>
          <w:sz w:val="28"/>
        </w:rPr>
        <w:t>J</w:t>
      </w:r>
    </w:p>
    <w:p w14:paraId="7B85BD32" w14:textId="77777777" w:rsidR="008016D1" w:rsidRDefault="008016D1" w:rsidP="004A3103">
      <w:pPr>
        <w:rPr>
          <w:b/>
          <w:bCs/>
        </w:rPr>
      </w:pPr>
    </w:p>
    <w:p w14:paraId="54B82DA9" w14:textId="77777777" w:rsidR="008016D1" w:rsidRDefault="008016D1" w:rsidP="008016D1">
      <w:pPr>
        <w:pStyle w:val="Heading2"/>
      </w:pPr>
      <w:r>
        <w:t xml:space="preserve">Converting Total Return to Annualized Return </w:t>
      </w:r>
    </w:p>
    <w:p w14:paraId="38BC8808" w14:textId="77777777" w:rsidR="00B6509F" w:rsidRDefault="00B6509F" w:rsidP="00B6509F">
      <w:r>
        <w:t>Returns are measured over a period of time – usually over the course of a year, but if some other period, they can be annualized.</w:t>
      </w:r>
    </w:p>
    <w:p w14:paraId="33BB7A5E" w14:textId="77777777" w:rsidR="008016D1" w:rsidRDefault="008016D1" w:rsidP="008016D1"/>
    <w:p w14:paraId="3A522B5C" w14:textId="77777777" w:rsidR="008016D1" w:rsidRDefault="008016D1" w:rsidP="008016D1">
      <w:r>
        <w:t xml:space="preserve">This is </w:t>
      </w:r>
      <w:r w:rsidR="00B6509F">
        <w:t>very similar to</w:t>
      </w:r>
      <w:r>
        <w:t xml:space="preserve"> </w:t>
      </w:r>
      <w:r w:rsidR="00306BCB">
        <w:t xml:space="preserve">calculating the </w:t>
      </w:r>
      <w:r w:rsidR="00B6509F">
        <w:t xml:space="preserve"> EA</w:t>
      </w:r>
      <w:r>
        <w:t>R</w:t>
      </w:r>
      <w:r w:rsidR="00306BCB">
        <w:t>, which we did in chapter 4</w:t>
      </w:r>
    </w:p>
    <w:p w14:paraId="7D563FA3" w14:textId="77777777" w:rsidR="008016D1" w:rsidRDefault="008016D1" w:rsidP="008016D1"/>
    <w:p w14:paraId="70D43A89" w14:textId="77777777" w:rsidR="008016D1" w:rsidRDefault="008016D1" w:rsidP="008016D1">
      <w:r>
        <w:t>Example:</w:t>
      </w:r>
    </w:p>
    <w:p w14:paraId="18D69062" w14:textId="77777777" w:rsidR="008016D1" w:rsidRDefault="00ED7BDC" w:rsidP="008016D1">
      <w:r>
        <w:t>Buy a stock on Jan. 1 for $100</w:t>
      </w:r>
    </w:p>
    <w:p w14:paraId="7A6DC7C1" w14:textId="77777777" w:rsidR="008016D1" w:rsidRDefault="00306BCB" w:rsidP="008016D1">
      <w:r>
        <w:t>Sell the stock on April 1 for $102</w:t>
      </w:r>
    </w:p>
    <w:p w14:paraId="6095343E" w14:textId="77777777" w:rsidR="008016D1" w:rsidRDefault="008016D1" w:rsidP="008016D1">
      <w:r>
        <w:t>What is the annualized return?</w:t>
      </w:r>
    </w:p>
    <w:p w14:paraId="5702158C" w14:textId="77777777" w:rsidR="008016D1" w:rsidRDefault="008016D1" w:rsidP="008016D1"/>
    <w:p w14:paraId="060192B3" w14:textId="77777777" w:rsidR="008016D1" w:rsidRPr="00306BCB" w:rsidRDefault="00306BCB" w:rsidP="00306BCB">
      <w:r>
        <w:t>Simple</w:t>
      </w:r>
      <w:r w:rsidR="00ED7BDC">
        <w:t xml:space="preserve"> </w:t>
      </w:r>
      <w:r w:rsidR="008016D1">
        <w:t xml:space="preserve">Return = </w:t>
      </w:r>
      <w:r w:rsidRPr="00306BCB">
        <w:rPr>
          <w:u w:val="single"/>
        </w:rPr>
        <w:t>102-100</w:t>
      </w:r>
      <w:r>
        <w:t xml:space="preserve">    =  102/100 – 1   =   2%</w:t>
      </w:r>
    </w:p>
    <w:p w14:paraId="056593A7" w14:textId="77777777" w:rsidR="00846350" w:rsidRDefault="00306BCB" w:rsidP="008016D1">
      <w:r>
        <w:t xml:space="preserve">                              100</w:t>
      </w:r>
    </w:p>
    <w:p w14:paraId="24DE311B" w14:textId="77777777" w:rsidR="00306BCB" w:rsidRDefault="00306BCB" w:rsidP="008016D1">
      <w:r>
        <w:t>Note that since this was over a three-month period, this assumes quarterly compounding.</w:t>
      </w:r>
    </w:p>
    <w:p w14:paraId="7B0E9E90" w14:textId="77777777" w:rsidR="00306BCB" w:rsidRDefault="00306BCB" w:rsidP="008016D1"/>
    <w:p w14:paraId="7AE5FEA2" w14:textId="77777777" w:rsidR="00306BCB" w:rsidRDefault="00306BCB" w:rsidP="008016D1">
      <w:r>
        <w:t>Annualized return assumes we had the same return for an entire year.</w:t>
      </w:r>
    </w:p>
    <w:p w14:paraId="646684A9" w14:textId="77777777" w:rsidR="00306BCB" w:rsidRDefault="00306BCB" w:rsidP="008016D1"/>
    <w:p w14:paraId="4BFC3251" w14:textId="77777777" w:rsidR="008016D1" w:rsidRDefault="00306BCB" w:rsidP="008016D1">
      <w:r>
        <w:t>Annualized r</w:t>
      </w:r>
      <w:r w:rsidR="008016D1">
        <w:t>eturn</w:t>
      </w:r>
      <w:r w:rsidR="00B6509F">
        <w:t xml:space="preserve"> with quarterly compounding</w:t>
      </w:r>
      <w:r w:rsidR="008016D1">
        <w:t xml:space="preserve"> = (1 + .02)</w:t>
      </w:r>
      <w:r w:rsidR="008016D1">
        <w:rPr>
          <w:vertAlign w:val="superscript"/>
        </w:rPr>
        <w:t>4</w:t>
      </w:r>
      <w:r w:rsidR="008016D1">
        <w:t xml:space="preserve"> – 1 = 8.24%</w:t>
      </w:r>
    </w:p>
    <w:p w14:paraId="25232EFC" w14:textId="77777777" w:rsidR="00306BCB" w:rsidRDefault="00306BCB" w:rsidP="00306BCB"/>
    <w:p w14:paraId="51CE400E" w14:textId="77777777" w:rsidR="00306BCB" w:rsidRDefault="00306BCB" w:rsidP="00306BCB">
      <w:r>
        <w:t xml:space="preserve">But we don’t have to assume quarterly compounding. We can assume continuous compounding. </w:t>
      </w:r>
    </w:p>
    <w:p w14:paraId="707C3000" w14:textId="77777777" w:rsidR="00306BCB" w:rsidRDefault="00306BCB" w:rsidP="00306BCB"/>
    <w:p w14:paraId="674A64D0" w14:textId="77777777" w:rsidR="00306BCB" w:rsidRDefault="00306BCB" w:rsidP="00306BCB">
      <w:r>
        <w:t xml:space="preserve">Quarterly Return = </w:t>
      </w:r>
      <w:r w:rsidRPr="00846350">
        <w:rPr>
          <w:position w:val="-28"/>
        </w:rPr>
        <w:object w:dxaOrig="859" w:dyaOrig="680" w14:anchorId="2AEE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3.75pt" o:ole="">
            <v:imagedata r:id="rId7" o:title=""/>
          </v:shape>
          <o:OLEObject Type="Embed" ProgID="Equation.3" ShapeID="_x0000_i1025" DrawAspect="Content" ObjectID="_1793521168" r:id="rId8"/>
        </w:object>
      </w:r>
      <w:r>
        <w:t xml:space="preserve"> = 1.98% if we assume continuous compounding</w:t>
      </w:r>
    </w:p>
    <w:p w14:paraId="2C0A604C" w14:textId="77777777" w:rsidR="00911B08" w:rsidRDefault="00911B08" w:rsidP="008016D1"/>
    <w:p w14:paraId="251D0A32" w14:textId="77777777" w:rsidR="00911B08" w:rsidRPr="00911B08" w:rsidRDefault="00911B08" w:rsidP="008016D1">
      <w:r>
        <w:t>Annualized Return</w:t>
      </w:r>
      <w:r w:rsidR="005325C2">
        <w:t xml:space="preserve"> with </w:t>
      </w:r>
      <w:r w:rsidR="00044F56">
        <w:t>continuous compounding = (1.98%)</w:t>
      </w:r>
      <w:r w:rsidR="005325C2">
        <w:t xml:space="preserve"> </w:t>
      </w:r>
      <w:r w:rsidR="00044F56">
        <w:t>(</w:t>
      </w:r>
      <w:r w:rsidR="005325C2">
        <w:t>4</w:t>
      </w:r>
      <w:r w:rsidR="00044F56">
        <w:t>)</w:t>
      </w:r>
      <w:r w:rsidR="005325C2">
        <w:t xml:space="preserve"> = 7.92</w:t>
      </w:r>
      <w:r>
        <w:t>%</w:t>
      </w:r>
    </w:p>
    <w:p w14:paraId="661CD7AF" w14:textId="77777777" w:rsidR="008016D1" w:rsidRDefault="008016D1" w:rsidP="008016D1"/>
    <w:p w14:paraId="7B8B4543" w14:textId="77777777" w:rsidR="008016D1" w:rsidRDefault="008016D1" w:rsidP="008016D1">
      <w:r>
        <w:t>No</w:t>
      </w:r>
      <w:r w:rsidR="005325C2">
        <w:t xml:space="preserve">tice that in each case, </w:t>
      </w:r>
      <w:r w:rsidR="00EC7D88">
        <w:t>the PV of 100 becomes a FV of 108.24 at the end of the year.</w:t>
      </w:r>
      <w:r w:rsidR="005325C2">
        <w:t xml:space="preserve"> </w:t>
      </w:r>
    </w:p>
    <w:p w14:paraId="28ED22BD" w14:textId="77777777" w:rsidR="008016D1" w:rsidRDefault="008016D1" w:rsidP="008016D1"/>
    <w:p w14:paraId="2C5A68D4" w14:textId="77777777" w:rsidR="00846350" w:rsidRDefault="00846350" w:rsidP="008016D1"/>
    <w:p w14:paraId="23746163" w14:textId="77777777" w:rsidR="008016D1" w:rsidRDefault="008016D1" w:rsidP="008016D1">
      <w:r>
        <w:t>Another Example:</w:t>
      </w:r>
    </w:p>
    <w:p w14:paraId="42C8DAAC" w14:textId="77777777" w:rsidR="008016D1" w:rsidRDefault="008016D1" w:rsidP="008016D1">
      <w:r>
        <w:t xml:space="preserve">Suppose you </w:t>
      </w:r>
      <w:r w:rsidR="005325C2">
        <w:t>buy a non-dividend-paying stock for $100, hold it</w:t>
      </w:r>
      <w:r>
        <w:t xml:space="preserve"> for 5 years and </w:t>
      </w:r>
      <w:r w:rsidR="005325C2">
        <w:t>then fi</w:t>
      </w:r>
      <w:r w:rsidR="004F3686">
        <w:t>n</w:t>
      </w:r>
      <w:r w:rsidR="005325C2">
        <w:t>d that it is worth $155. O</w:t>
      </w:r>
      <w:r>
        <w:t>ver that time period you ha</w:t>
      </w:r>
      <w:r w:rsidR="005325C2">
        <w:t xml:space="preserve">ve a </w:t>
      </w:r>
      <w:r w:rsidR="00306BCB">
        <w:t>simple</w:t>
      </w:r>
      <w:r w:rsidR="005325C2">
        <w:t xml:space="preserve"> return of 55%. Y</w:t>
      </w:r>
      <w:r>
        <w:t xml:space="preserve">our annualized return </w:t>
      </w:r>
      <w:r w:rsidR="005325C2">
        <w:t>has been</w:t>
      </w:r>
      <w:r>
        <w:t>:</w:t>
      </w:r>
    </w:p>
    <w:p w14:paraId="2E79CBCE" w14:textId="77777777" w:rsidR="005325C2" w:rsidRDefault="005325C2" w:rsidP="008016D1"/>
    <w:p w14:paraId="118C7714" w14:textId="77777777" w:rsidR="004F3686" w:rsidRDefault="004F3686" w:rsidP="008016D1"/>
    <w:p w14:paraId="54C0FA8E" w14:textId="77777777" w:rsidR="008016D1" w:rsidRDefault="008016D1" w:rsidP="008016D1">
      <w:r>
        <w:t>(1 + .55)</w:t>
      </w:r>
      <w:r>
        <w:rPr>
          <w:vertAlign w:val="superscript"/>
        </w:rPr>
        <w:t>1/5</w:t>
      </w:r>
      <w:r>
        <w:t xml:space="preserve"> – 1 = 9.16%</w:t>
      </w:r>
      <w:r w:rsidR="005325C2">
        <w:t xml:space="preserve"> if we assume annual compounding</w:t>
      </w:r>
    </w:p>
    <w:p w14:paraId="0A58ED96" w14:textId="77777777" w:rsidR="005325C2" w:rsidRDefault="005325C2" w:rsidP="008016D1"/>
    <w:p w14:paraId="109F385C" w14:textId="77777777" w:rsidR="004F3686" w:rsidRDefault="004F3686" w:rsidP="008016D1"/>
    <w:p w14:paraId="4741E2FC" w14:textId="77777777" w:rsidR="005325C2" w:rsidRPr="004F3686" w:rsidRDefault="004F3686" w:rsidP="008016D1">
      <w:r w:rsidRPr="004F3686">
        <w:rPr>
          <w:position w:val="-28"/>
          <w:u w:val="single"/>
        </w:rPr>
        <w:object w:dxaOrig="859" w:dyaOrig="680" w14:anchorId="2C006E36">
          <v:shape id="_x0000_i1026" type="#_x0000_t75" style="width:42.75pt;height:33.75pt" o:ole="">
            <v:imagedata r:id="rId9" o:title=""/>
          </v:shape>
          <o:OLEObject Type="Embed" ProgID="Equation.3" ShapeID="_x0000_i1026" DrawAspect="Content" ObjectID="_1793521169" r:id="rId10"/>
        </w:object>
      </w:r>
      <w:r>
        <w:t xml:space="preserve">    =   </w:t>
      </w:r>
      <w:r w:rsidR="00EC7D88">
        <w:t>43.</w:t>
      </w:r>
      <w:r w:rsidR="00306BCB">
        <w:t>8%</w:t>
      </w:r>
      <w:r w:rsidR="00EC7D88">
        <w:t xml:space="preserve">/5  =  </w:t>
      </w:r>
      <w:r>
        <w:t>8.77% if we assume continuous compounding</w:t>
      </w:r>
    </w:p>
    <w:p w14:paraId="45ADB4EA" w14:textId="77777777" w:rsidR="00846350" w:rsidRPr="007D4EF3" w:rsidRDefault="004F3686" w:rsidP="004A3103">
      <w:r>
        <w:t xml:space="preserve">       5</w:t>
      </w:r>
    </w:p>
    <w:p w14:paraId="340246E8" w14:textId="77777777" w:rsidR="00EC7D88" w:rsidRDefault="00EC7D88" w:rsidP="004A3103">
      <w:pPr>
        <w:rPr>
          <w:bCs/>
        </w:rPr>
      </w:pPr>
    </w:p>
    <w:p w14:paraId="5666FA36" w14:textId="77777777" w:rsidR="004F3686" w:rsidRDefault="004F3686" w:rsidP="004A3103">
      <w:pPr>
        <w:rPr>
          <w:bCs/>
        </w:rPr>
      </w:pPr>
      <w:r>
        <w:rPr>
          <w:bCs/>
        </w:rPr>
        <w:lastRenderedPageBreak/>
        <w:t>Calculating Average Annual Returns and Standard Deviations from HISTORIC DATA</w:t>
      </w:r>
    </w:p>
    <w:p w14:paraId="4799D1D8" w14:textId="77777777" w:rsidR="004F3686" w:rsidRDefault="004F3686" w:rsidP="004A3103">
      <w:pPr>
        <w:rPr>
          <w:bCs/>
        </w:rPr>
      </w:pPr>
    </w:p>
    <w:p w14:paraId="73141858" w14:textId="77777777" w:rsidR="004A3103" w:rsidRPr="004F3686" w:rsidRDefault="004A3103" w:rsidP="004A3103">
      <w:pPr>
        <w:rPr>
          <w:bCs/>
        </w:rPr>
      </w:pPr>
      <w:r w:rsidRPr="00770CF5">
        <w:rPr>
          <w:bCs/>
        </w:rPr>
        <w:t xml:space="preserve">Average annual Return </w:t>
      </w:r>
      <w:r w:rsidR="004F3686">
        <w:rPr>
          <w:bCs/>
        </w:rPr>
        <w:t xml:space="preserve"> </w:t>
      </w:r>
      <w:r>
        <w:t xml:space="preserve">= </w:t>
      </w:r>
      <w:r w:rsidRPr="00B67819">
        <w:rPr>
          <w:position w:val="-4"/>
        </w:rPr>
        <w:object w:dxaOrig="260" w:dyaOrig="300" w14:anchorId="2790D8FF">
          <v:shape id="_x0000_i1027" type="#_x0000_t75" style="width:12.75pt;height:15pt" o:ole="">
            <v:imagedata r:id="rId11" o:title=""/>
          </v:shape>
          <o:OLEObject Type="Embed" ProgID="Equation.3" ShapeID="_x0000_i1027" DrawAspect="Content" ObjectID="_1793521170" r:id="rId12"/>
        </w:object>
      </w:r>
      <w:r>
        <w:t xml:space="preserve">  </w:t>
      </w:r>
      <w:r w:rsidR="004F3686">
        <w:t xml:space="preserve"> = Arithmetic mean = </w:t>
      </w:r>
    </w:p>
    <w:p w14:paraId="64F6CFBE" w14:textId="77777777" w:rsidR="004A3103" w:rsidRDefault="00000000" w:rsidP="004A3103">
      <w:r>
        <w:rPr>
          <w:noProof/>
        </w:rPr>
        <w:object w:dxaOrig="1440" w:dyaOrig="1440" w14:anchorId="7AE17E22">
          <v:shape id="_x0000_s1031" type="#_x0000_t75" style="position:absolute;margin-left:-4.95pt;margin-top:5pt;width:65pt;height:48pt;z-index:1" o:allowincell="f">
            <v:imagedata r:id="rId13" o:title=""/>
            <w10:wrap type="topAndBottom"/>
          </v:shape>
          <o:OLEObject Type="Embed" ProgID="Equation.3" ShapeID="_x0000_s1031" DrawAspect="Content" ObjectID="_1793521174" r:id="rId14"/>
        </w:object>
      </w:r>
    </w:p>
    <w:p w14:paraId="6B8C9BE4" w14:textId="77777777" w:rsidR="00FC7E56" w:rsidRDefault="00FC7E56" w:rsidP="00FC7E56"/>
    <w:p w14:paraId="0C455AF0" w14:textId="77777777" w:rsidR="00FC7E56" w:rsidRDefault="00FC7E56" w:rsidP="00FC7E56">
      <w:r>
        <w:t>Geometric Average Return = Geometric Mean = Buy and Hold Return</w:t>
      </w:r>
    </w:p>
    <w:p w14:paraId="5BBE6C3F" w14:textId="77777777" w:rsidR="00FC7E56" w:rsidRDefault="00FC7E56" w:rsidP="00FC7E56"/>
    <w:p w14:paraId="334B9C88" w14:textId="77777777" w:rsidR="00FC7E56" w:rsidRDefault="00FC7E56" w:rsidP="00FC7E56">
      <w:r>
        <w:t>=  [Π (1+R</w:t>
      </w:r>
      <w:r>
        <w:rPr>
          <w:vertAlign w:val="subscript"/>
        </w:rPr>
        <w:t>t</w:t>
      </w:r>
      <w:r>
        <w:t>)]</w:t>
      </w:r>
      <w:r>
        <w:rPr>
          <w:vertAlign w:val="superscript"/>
        </w:rPr>
        <w:t>1/T</w:t>
      </w:r>
      <w:r>
        <w:t xml:space="preserve"> – 1</w:t>
      </w:r>
    </w:p>
    <w:p w14:paraId="76C0D99B" w14:textId="77777777" w:rsidR="00FC7E56" w:rsidRDefault="00FC7E56" w:rsidP="00FC7E56"/>
    <w:p w14:paraId="5F690518" w14:textId="77777777" w:rsidR="00CA0ED3" w:rsidRDefault="00CA0ED3" w:rsidP="00CA0ED3">
      <w:r>
        <w:t>Geometric Average Return – The compounded annual  return earned by an investor who bought the security and held it for ‘T’ years. This is equivalent to earning this return each year and reinvesting the earnings at the end of each year.</w:t>
      </w:r>
    </w:p>
    <w:p w14:paraId="5AF5583D" w14:textId="77777777" w:rsidR="009F3458" w:rsidRDefault="009F3458" w:rsidP="004A3103"/>
    <w:p w14:paraId="1146F2EE" w14:textId="77777777" w:rsidR="00FC7E56" w:rsidRDefault="00FC7E56" w:rsidP="00FC7E56">
      <w:r>
        <w:rPr>
          <w:b/>
          <w:bCs/>
        </w:rPr>
        <w:t>Example</w:t>
      </w:r>
      <w:r>
        <w:t xml:space="preserve">: Let’s take the </w:t>
      </w:r>
      <w:r w:rsidR="00044F56">
        <w:t xml:space="preserve">annual </w:t>
      </w:r>
      <w:r>
        <w:t>returns for a hypothetical stock</w:t>
      </w:r>
      <w:r w:rsidR="00044F56">
        <w:t xml:space="preserve"> which you bought at the beginning of 2001</w:t>
      </w:r>
      <w:r>
        <w:t>:</w:t>
      </w:r>
    </w:p>
    <w:p w14:paraId="69E254F9" w14:textId="77777777" w:rsidR="00FC7E56" w:rsidRDefault="00FC7E56" w:rsidP="00FC7E56"/>
    <w:p w14:paraId="2AE2BD5C" w14:textId="77777777" w:rsidR="00FC7E56" w:rsidRDefault="00FC7E56" w:rsidP="00FC7E56">
      <w:r>
        <w:t>2001    5%</w:t>
      </w:r>
    </w:p>
    <w:p w14:paraId="57873149" w14:textId="77777777" w:rsidR="00FC7E56" w:rsidRDefault="00FC7E56" w:rsidP="00FC7E56">
      <w:r>
        <w:t>2002    9%</w:t>
      </w:r>
    </w:p>
    <w:p w14:paraId="787AA691" w14:textId="77777777" w:rsidR="00FC7E56" w:rsidRDefault="00FC7E56" w:rsidP="00FC7E56">
      <w:r>
        <w:t>2003  -12%</w:t>
      </w:r>
    </w:p>
    <w:p w14:paraId="1454FBD8" w14:textId="77777777" w:rsidR="00FC7E56" w:rsidRDefault="00FC7E56" w:rsidP="00FC7E56">
      <w:r>
        <w:t>2004   20%</w:t>
      </w:r>
    </w:p>
    <w:p w14:paraId="1B4E47FE" w14:textId="77777777" w:rsidR="00FC7E56" w:rsidRDefault="00FC7E56" w:rsidP="00FC7E56"/>
    <w:p w14:paraId="252C896E" w14:textId="77777777" w:rsidR="00FC7E56" w:rsidRDefault="00FC7E56" w:rsidP="00FC7E56">
      <w:r>
        <w:t>Arithmetic Mean</w:t>
      </w:r>
    </w:p>
    <w:p w14:paraId="38A1169B" w14:textId="77777777" w:rsidR="00FC7E56" w:rsidRDefault="00FC7E56" w:rsidP="00FC7E56"/>
    <w:p w14:paraId="16ED0364" w14:textId="77777777" w:rsidR="00FC7E56" w:rsidRDefault="00FC7E56" w:rsidP="00FC7E56">
      <w:r>
        <w:sym w:font="Symbol" w:char="F060"/>
      </w:r>
      <w:r w:rsidRPr="00B67819">
        <w:rPr>
          <w:position w:val="-4"/>
        </w:rPr>
        <w:object w:dxaOrig="260" w:dyaOrig="300" w14:anchorId="37B0D3D7">
          <v:shape id="_x0000_i1029" type="#_x0000_t75" style="width:12.75pt;height:15pt" o:ole="">
            <v:imagedata r:id="rId11" o:title=""/>
          </v:shape>
          <o:OLEObject Type="Embed" ProgID="Equation.3" ShapeID="_x0000_i1029" DrawAspect="Content" ObjectID="_1793521171" r:id="rId15"/>
        </w:object>
      </w:r>
      <w:r>
        <w:t xml:space="preserve">=  </w:t>
      </w:r>
      <w:r>
        <w:rPr>
          <w:u w:val="single"/>
        </w:rPr>
        <w:t>.05 + .09 - .12 + .20</w:t>
      </w:r>
      <w:r>
        <w:t xml:space="preserve">   =   </w:t>
      </w:r>
      <w:r>
        <w:rPr>
          <w:u w:val="single"/>
        </w:rPr>
        <w:t>.22</w:t>
      </w:r>
      <w:r>
        <w:t xml:space="preserve">   =   .055   = 5.5%</w:t>
      </w:r>
    </w:p>
    <w:p w14:paraId="1DA7C6F5" w14:textId="77777777" w:rsidR="00FC7E56" w:rsidRDefault="00FC7E56" w:rsidP="00FC7E56">
      <w:pPr>
        <w:numPr>
          <w:ilvl w:val="0"/>
          <w:numId w:val="22"/>
        </w:numPr>
      </w:pPr>
      <w:r>
        <w:t>4</w:t>
      </w:r>
    </w:p>
    <w:p w14:paraId="48885E40" w14:textId="77777777" w:rsidR="00FC7E56" w:rsidRDefault="00FC7E56" w:rsidP="00FC7E56"/>
    <w:p w14:paraId="32948E66" w14:textId="77777777" w:rsidR="00CA0ED3" w:rsidRDefault="00CA0ED3" w:rsidP="00CA0ED3"/>
    <w:p w14:paraId="0827AE08" w14:textId="77777777" w:rsidR="00FC7E56" w:rsidRDefault="00FC7E56" w:rsidP="00FC7E56">
      <w:r>
        <w:t>Geometric Mean = [(1.05) (1.09) (0.88) (1.20)]</w:t>
      </w:r>
      <w:r>
        <w:rPr>
          <w:vertAlign w:val="superscript"/>
        </w:rPr>
        <w:t>1/4</w:t>
      </w:r>
      <w:r>
        <w:t xml:space="preserve"> – 1  =  4.85%</w:t>
      </w:r>
    </w:p>
    <w:p w14:paraId="754C2D9D" w14:textId="77777777" w:rsidR="00FC7E56" w:rsidRDefault="00FC7E56" w:rsidP="00FC7E56"/>
    <w:p w14:paraId="067ECF88" w14:textId="77777777" w:rsidR="00F7759B" w:rsidRDefault="00F7759B" w:rsidP="00FC7E56">
      <w:r>
        <w:t>The Arithmetic Mean is approximately equal to the Geometric Mean plus one-half the variance. This means that the larger the variance of the data, the greater will be the difference between the arithmetic and geometric means.</w:t>
      </w:r>
    </w:p>
    <w:p w14:paraId="49EC52AC" w14:textId="77777777" w:rsidR="00F7759B" w:rsidRDefault="00F7759B" w:rsidP="00FC7E56"/>
    <w:p w14:paraId="0A2C6827" w14:textId="77777777" w:rsidR="00FC7E56" w:rsidRDefault="00FC7E56" w:rsidP="00FC7E56">
      <w:r>
        <w:t>If we want to calculate the Variance and Standard Deviation, we must use the arithmetic mean.</w:t>
      </w:r>
    </w:p>
    <w:p w14:paraId="64A46793" w14:textId="77777777" w:rsidR="00FC7E56" w:rsidRDefault="00FC7E56" w:rsidP="00FC7E56"/>
    <w:p w14:paraId="12265037" w14:textId="77777777" w:rsidR="00FC7E56" w:rsidRDefault="00FC7E56" w:rsidP="00FC7E56">
      <w:r>
        <w:t xml:space="preserve">Variance of a </w:t>
      </w:r>
      <w:r w:rsidR="00044F56">
        <w:t>population</w:t>
      </w:r>
      <w:r>
        <w:t xml:space="preserve"> (using HISTORICAL DATA)</w:t>
      </w:r>
      <w:r w:rsidRPr="00FC7E56">
        <w:t xml:space="preserve"> </w:t>
      </w:r>
    </w:p>
    <w:p w14:paraId="62E01157" w14:textId="77777777" w:rsidR="00FC7E56" w:rsidRDefault="00FC7E56" w:rsidP="00FC7E56"/>
    <w:p w14:paraId="49061BC2" w14:textId="77777777" w:rsidR="00FC7E56" w:rsidRDefault="00FC7E56" w:rsidP="00FC7E56">
      <w:r>
        <w:sym w:font="Symbol" w:char="F073"/>
      </w:r>
      <w:r>
        <w:rPr>
          <w:vertAlign w:val="superscript"/>
        </w:rPr>
        <w:t>2</w:t>
      </w:r>
      <w:r>
        <w:t xml:space="preserve"> = variance = Average squared difference between ac</w:t>
      </w:r>
      <w:r w:rsidR="00EC7D88">
        <w:t>tual return and average return. A</w:t>
      </w:r>
      <w:r>
        <w:t xml:space="preserve">lways </w:t>
      </w:r>
      <w:r w:rsidR="00EC7D88">
        <w:t>uses</w:t>
      </w:r>
      <w:r>
        <w:t xml:space="preserve"> arithmetic average return</w:t>
      </w:r>
    </w:p>
    <w:p w14:paraId="0A63C390" w14:textId="77777777" w:rsidR="00FC7E56" w:rsidRDefault="00FC7E56" w:rsidP="00FC7E56"/>
    <w:p w14:paraId="305215E0" w14:textId="77777777" w:rsidR="00FC7E56" w:rsidRPr="00FA2307" w:rsidRDefault="00000000" w:rsidP="00FC7E56">
      <w:r>
        <w:rPr>
          <w:noProof/>
        </w:rPr>
        <w:object w:dxaOrig="1440" w:dyaOrig="1440" w14:anchorId="15BBB1C1">
          <v:shape id="_x0000_s1032" type="#_x0000_t75" style="position:absolute;margin-left:-4.95pt;margin-top:13.4pt;width:109pt;height:36pt;z-index:2">
            <v:imagedata r:id="rId16" o:title=""/>
            <w10:wrap type="topAndBottom"/>
          </v:shape>
          <o:OLEObject Type="Embed" ProgID="Equation.3" ShapeID="_x0000_s1032" DrawAspect="Content" ObjectID="_1793521175" r:id="rId17"/>
        </w:object>
      </w:r>
    </w:p>
    <w:p w14:paraId="581DEC71" w14:textId="77777777" w:rsidR="00FC7E56" w:rsidRDefault="00FC7E56" w:rsidP="004A3103"/>
    <w:p w14:paraId="0F04A27D" w14:textId="77777777" w:rsidR="00CA0ED3" w:rsidRDefault="00CA0ED3" w:rsidP="004A3103"/>
    <w:p w14:paraId="3FDA5D6B" w14:textId="77777777" w:rsidR="00FC7E56" w:rsidRDefault="00FC7E56" w:rsidP="00FC7E56">
      <w:r>
        <w:sym w:font="Symbol" w:char="F073"/>
      </w:r>
      <w:r>
        <w:rPr>
          <w:vertAlign w:val="superscript"/>
        </w:rPr>
        <w:t>2</w:t>
      </w:r>
      <w:r>
        <w:t xml:space="preserve"> =  </w:t>
      </w:r>
      <w:r>
        <w:rPr>
          <w:u w:val="single"/>
        </w:rPr>
        <w:t>(.05 - .055)</w:t>
      </w:r>
      <w:r>
        <w:rPr>
          <w:u w:val="single"/>
          <w:vertAlign w:val="superscript"/>
        </w:rPr>
        <w:t>2</w:t>
      </w:r>
      <w:r>
        <w:rPr>
          <w:u w:val="single"/>
        </w:rPr>
        <w:t xml:space="preserve"> + (.09 - .055)</w:t>
      </w:r>
      <w:r>
        <w:rPr>
          <w:u w:val="single"/>
          <w:vertAlign w:val="superscript"/>
        </w:rPr>
        <w:t>2</w:t>
      </w:r>
      <w:r>
        <w:rPr>
          <w:u w:val="single"/>
        </w:rPr>
        <w:t xml:space="preserve"> + (-.12 - .055)</w:t>
      </w:r>
      <w:r>
        <w:rPr>
          <w:u w:val="single"/>
          <w:vertAlign w:val="superscript"/>
        </w:rPr>
        <w:t>2</w:t>
      </w:r>
      <w:r>
        <w:rPr>
          <w:u w:val="single"/>
        </w:rPr>
        <w:t xml:space="preserve"> + (.20 - .055)</w:t>
      </w:r>
      <w:r>
        <w:rPr>
          <w:u w:val="single"/>
          <w:vertAlign w:val="superscript"/>
        </w:rPr>
        <w:t>2</w:t>
      </w:r>
      <w:r>
        <w:rPr>
          <w:u w:val="single"/>
        </w:rPr>
        <w:t xml:space="preserve"> </w:t>
      </w:r>
      <w:r>
        <w:t xml:space="preserve">  </w:t>
      </w:r>
    </w:p>
    <w:p w14:paraId="373E9AB4" w14:textId="77777777" w:rsidR="00FC7E56" w:rsidRDefault="00FC7E56" w:rsidP="00FC7E56">
      <w:r>
        <w:t xml:space="preserve">                      </w:t>
      </w:r>
      <w:r w:rsidR="00044F56">
        <w:t xml:space="preserve">                               4</w:t>
      </w:r>
    </w:p>
    <w:p w14:paraId="77C1B425" w14:textId="77777777" w:rsidR="00FC7E56" w:rsidRDefault="00FC7E56" w:rsidP="00FC7E56"/>
    <w:p w14:paraId="5D28D797" w14:textId="77777777" w:rsidR="00FC7E56" w:rsidRDefault="00FC7E56" w:rsidP="00FC7E56">
      <w:r>
        <w:t xml:space="preserve">     =   </w:t>
      </w:r>
      <w:r>
        <w:rPr>
          <w:u w:val="single"/>
        </w:rPr>
        <w:t>.000025 + .001225 + .030625 + .021025</w:t>
      </w:r>
    </w:p>
    <w:p w14:paraId="02E3A848" w14:textId="77777777" w:rsidR="00FC7E56" w:rsidRDefault="00FC7E56" w:rsidP="00FC7E56">
      <w:r>
        <w:t xml:space="preserve">          </w:t>
      </w:r>
      <w:r w:rsidR="00044F56">
        <w:t xml:space="preserve">                               4</w:t>
      </w:r>
    </w:p>
    <w:p w14:paraId="72BB7F43" w14:textId="77777777" w:rsidR="00FC7E56" w:rsidRDefault="00FC7E56" w:rsidP="00FC7E56">
      <w:r>
        <w:t xml:space="preserve">     =  </w:t>
      </w:r>
      <w:r>
        <w:rPr>
          <w:u w:val="single"/>
        </w:rPr>
        <w:t>.0529</w:t>
      </w:r>
      <w:r w:rsidR="00044F56">
        <w:t xml:space="preserve">  =  .013225</w:t>
      </w:r>
      <w:r>
        <w:t xml:space="preserve">  </w:t>
      </w:r>
    </w:p>
    <w:p w14:paraId="1E0E1485" w14:textId="77777777" w:rsidR="00CA0ED3" w:rsidRDefault="00044F56" w:rsidP="00CA0ED3">
      <w:r>
        <w:t xml:space="preserve">             4</w:t>
      </w:r>
    </w:p>
    <w:p w14:paraId="1D36015E" w14:textId="77777777" w:rsidR="00CA0ED3" w:rsidRDefault="00CA0ED3" w:rsidP="00CA0ED3"/>
    <w:p w14:paraId="3BDF3ED4" w14:textId="77777777" w:rsidR="00CA0ED3" w:rsidRDefault="00CA0ED3" w:rsidP="00CA0ED3">
      <w:r>
        <w:sym w:font="Symbol" w:char="F073"/>
      </w:r>
      <w:r>
        <w:t xml:space="preserve"> = standard deviation = Positive square root of variance</w:t>
      </w:r>
    </w:p>
    <w:p w14:paraId="7E7A1005" w14:textId="77777777" w:rsidR="00FC7E56" w:rsidRDefault="00FC7E56" w:rsidP="00FC7E56"/>
    <w:p w14:paraId="2BC59B2F" w14:textId="77777777" w:rsidR="00FC7E56" w:rsidRDefault="00044F56" w:rsidP="00FC7E56">
      <w:r>
        <w:rPr>
          <w:position w:val="-8"/>
        </w:rPr>
        <w:object w:dxaOrig="1440" w:dyaOrig="360" w14:anchorId="5C9EFA00">
          <v:shape id="_x0000_i1031" type="#_x0000_t75" style="width:1in;height:18pt" o:ole="">
            <v:imagedata r:id="rId18" o:title=""/>
          </v:shape>
          <o:OLEObject Type="Embed" ProgID="Equation.3" ShapeID="_x0000_i1031" DrawAspect="Content" ObjectID="_1793521172" r:id="rId19"/>
        </w:object>
      </w:r>
    </w:p>
    <w:p w14:paraId="56DF2E38" w14:textId="77777777" w:rsidR="00FC7E56" w:rsidRDefault="00FC7E56" w:rsidP="00FC7E56">
      <w:r>
        <w:t xml:space="preserve"> </w:t>
      </w:r>
    </w:p>
    <w:p w14:paraId="4AFCF382" w14:textId="77777777" w:rsidR="00FC7E56" w:rsidRDefault="00044F56" w:rsidP="00FC7E56">
      <w:r>
        <w:t xml:space="preserve">     =  .115   =  11.5</w:t>
      </w:r>
      <w:r w:rsidR="00FC7E56">
        <w:t>%</w:t>
      </w:r>
    </w:p>
    <w:p w14:paraId="6516A1E8" w14:textId="77777777" w:rsidR="00044F56" w:rsidRDefault="00044F56" w:rsidP="00FC7E56"/>
    <w:p w14:paraId="304E3FC3" w14:textId="77777777" w:rsidR="00044F56" w:rsidRDefault="00044F56" w:rsidP="00FC7E56">
      <w:r w:rsidRPr="002A02A8">
        <w:rPr>
          <w:b/>
        </w:rPr>
        <w:t>Note though</w:t>
      </w:r>
      <w:r w:rsidR="00F7759B">
        <w:t xml:space="preserve"> that if these 4</w:t>
      </w:r>
      <w:r>
        <w:t xml:space="preserve"> years are only a sample of the annual returns for this stock and we wish to estimate the variance and standard deviation of the population (we can’t know them for sure without all the data), we must divide by T-1 instead of T.</w:t>
      </w:r>
      <w:r w:rsidR="002A02A8">
        <w:t xml:space="preserve"> In this example, that would give us a sample variance of .0176 and a sample standard deviation of 13.279%.</w:t>
      </w:r>
    </w:p>
    <w:p w14:paraId="44F0E6B1" w14:textId="77777777" w:rsidR="00FC7E56" w:rsidRDefault="00FC7E56" w:rsidP="004A3103"/>
    <w:p w14:paraId="68CEFFBF" w14:textId="77777777" w:rsidR="002A02A8" w:rsidRDefault="002A02A8" w:rsidP="00CA0ED3">
      <w:r>
        <w:t>Your text</w:t>
      </w:r>
      <w:r w:rsidR="00CA0ED3">
        <w:t xml:space="preserve"> </w:t>
      </w:r>
      <w:r>
        <w:t>lists</w:t>
      </w:r>
      <w:r w:rsidR="00CA0ED3">
        <w:t xml:space="preserve"> the average annual returns and standard deviations for the years </w:t>
      </w:r>
    </w:p>
    <w:p w14:paraId="68362E5B" w14:textId="72F47241" w:rsidR="00CA0ED3" w:rsidRDefault="00CA0ED3" w:rsidP="00CA0ED3">
      <w:r>
        <w:t>19</w:t>
      </w:r>
      <w:r w:rsidR="002A02A8">
        <w:t>26</w:t>
      </w:r>
      <w:r w:rsidR="00A30AD7">
        <w:t xml:space="preserve"> – 20</w:t>
      </w:r>
      <w:r w:rsidR="0025228A">
        <w:t>20</w:t>
      </w:r>
      <w:r w:rsidR="00226B29">
        <w:t>.  F</w:t>
      </w:r>
      <w:r>
        <w:t xml:space="preserve">or </w:t>
      </w:r>
      <w:r w:rsidR="0025228A">
        <w:t>small</w:t>
      </w:r>
      <w:r w:rsidR="002A02A8">
        <w:t xml:space="preserve">-cap </w:t>
      </w:r>
      <w:r>
        <w:t xml:space="preserve">stocks, </w:t>
      </w:r>
      <w:r w:rsidR="0025228A">
        <w:t>large-cap stocks</w:t>
      </w:r>
      <w:r>
        <w:t>, and Treasury Bills</w:t>
      </w:r>
      <w:r w:rsidR="00226B29">
        <w:t xml:space="preserve"> they are:</w:t>
      </w:r>
    </w:p>
    <w:p w14:paraId="019D4F73" w14:textId="77777777" w:rsidR="004F3686" w:rsidRDefault="004F3686" w:rsidP="004A3103"/>
    <w:p w14:paraId="0AFDA1F5" w14:textId="77777777" w:rsidR="004F3686" w:rsidRDefault="004F3686" w:rsidP="004A3103"/>
    <w:p w14:paraId="3F3AE9CE" w14:textId="5763E51F" w:rsidR="004A3103" w:rsidRDefault="002A02A8" w:rsidP="004A3103">
      <w:pPr>
        <w:rPr>
          <w:b/>
          <w:bCs/>
        </w:rPr>
      </w:pPr>
      <w:r>
        <w:rPr>
          <w:b/>
          <w:bCs/>
        </w:rPr>
        <w:t>1926</w:t>
      </w:r>
      <w:r w:rsidR="00A30AD7">
        <w:rPr>
          <w:b/>
          <w:bCs/>
        </w:rPr>
        <w:t xml:space="preserve"> – 20</w:t>
      </w:r>
      <w:r w:rsidR="0025228A">
        <w:rPr>
          <w:b/>
          <w:bCs/>
        </w:rPr>
        <w:t>20</w:t>
      </w:r>
    </w:p>
    <w:p w14:paraId="522852D9" w14:textId="7B3CF074" w:rsidR="00CA0ED3" w:rsidRDefault="00115E7C" w:rsidP="00CA0ED3">
      <w:pPr>
        <w:pStyle w:val="Heading3"/>
        <w:rPr>
          <w:szCs w:val="24"/>
        </w:rPr>
      </w:pPr>
      <w:r>
        <w:t>Investment</w:t>
      </w:r>
      <w:r>
        <w:tab/>
        <w:t xml:space="preserve">             </w:t>
      </w:r>
      <w:proofErr w:type="spellStart"/>
      <w:r>
        <w:t>Arith</w:t>
      </w:r>
      <w:proofErr w:type="spellEnd"/>
      <w:r>
        <w:t>. Mean</w:t>
      </w:r>
      <w:r w:rsidR="004A3103">
        <w:t xml:space="preserve"> Return</w:t>
      </w:r>
      <w:r w:rsidR="00CA0ED3" w:rsidRPr="00CA0ED3">
        <w:rPr>
          <w:szCs w:val="24"/>
        </w:rPr>
        <w:t xml:space="preserve"> </w:t>
      </w:r>
      <w:r w:rsidR="0025228A">
        <w:rPr>
          <w:szCs w:val="24"/>
        </w:rPr>
        <w:t xml:space="preserve">          </w:t>
      </w:r>
      <w:r w:rsidR="00CA0ED3">
        <w:rPr>
          <w:szCs w:val="24"/>
        </w:rPr>
        <w:t xml:space="preserve">  </w:t>
      </w:r>
      <w:r>
        <w:rPr>
          <w:szCs w:val="24"/>
        </w:rPr>
        <w:t>Standard Deviation</w:t>
      </w:r>
    </w:p>
    <w:p w14:paraId="6FFF2A3E" w14:textId="6B656051" w:rsidR="00CA0ED3" w:rsidRDefault="00CA0ED3" w:rsidP="00CA0ED3">
      <w:r>
        <w:t>Stocks</w:t>
      </w:r>
      <w:r>
        <w:tab/>
        <w:t>(</w:t>
      </w:r>
      <w:r w:rsidR="0025228A">
        <w:t>small</w:t>
      </w:r>
      <w:r w:rsidR="002A02A8">
        <w:t xml:space="preserve"> cap)</w:t>
      </w:r>
      <w:r w:rsidR="002A02A8">
        <w:tab/>
        <w:t xml:space="preserve">          </w:t>
      </w:r>
      <w:r w:rsidR="00A30AD7">
        <w:t>1</w:t>
      </w:r>
      <w:r w:rsidR="0025228A">
        <w:t>6</w:t>
      </w:r>
      <w:r w:rsidR="00A30AD7">
        <w:t>.</w:t>
      </w:r>
      <w:r w:rsidR="0025228A">
        <w:t>2</w:t>
      </w:r>
      <w:r>
        <w:t xml:space="preserve">%  </w:t>
      </w:r>
      <w:r w:rsidR="002A02A8">
        <w:t xml:space="preserve">           </w:t>
      </w:r>
      <w:r w:rsidR="00EC7D88">
        <w:t xml:space="preserve"> </w:t>
      </w:r>
      <w:r w:rsidR="0025228A">
        <w:t xml:space="preserve">         </w:t>
      </w:r>
      <w:r w:rsidR="002A02A8">
        <w:t xml:space="preserve">          </w:t>
      </w:r>
      <w:r w:rsidR="0025228A">
        <w:t>31</w:t>
      </w:r>
      <w:r w:rsidR="00A30AD7">
        <w:t>.</w:t>
      </w:r>
      <w:r w:rsidR="0025228A">
        <w:t>3</w:t>
      </w:r>
      <w:r>
        <w:t>%</w:t>
      </w:r>
    </w:p>
    <w:p w14:paraId="2B047D71" w14:textId="4D3F7FF5" w:rsidR="00CA0ED3" w:rsidRDefault="0025228A" w:rsidP="00CA0ED3">
      <w:r>
        <w:t>Stocks</w:t>
      </w:r>
      <w:r>
        <w:tab/>
        <w:t>(large cap)</w:t>
      </w:r>
      <w:r w:rsidR="002A02A8">
        <w:tab/>
        <w:t xml:space="preserve">          </w:t>
      </w:r>
      <w:r>
        <w:t>12</w:t>
      </w:r>
      <w:r w:rsidR="00EC7D88">
        <w:t>.</w:t>
      </w:r>
      <w:r>
        <w:t>2</w:t>
      </w:r>
      <w:r w:rsidR="00CA0ED3">
        <w:t xml:space="preserve">     </w:t>
      </w:r>
      <w:r w:rsidR="002A02A8">
        <w:t xml:space="preserve">             </w:t>
      </w:r>
      <w:r>
        <w:t xml:space="preserve">  </w:t>
      </w:r>
      <w:r w:rsidR="002A02A8">
        <w:t xml:space="preserve">      </w:t>
      </w:r>
      <w:r>
        <w:t xml:space="preserve">        </w:t>
      </w:r>
      <w:r w:rsidR="002A02A8">
        <w:t xml:space="preserve">  </w:t>
      </w:r>
      <w:r w:rsidR="00A30AD7">
        <w:t>1</w:t>
      </w:r>
      <w:r>
        <w:t>9</w:t>
      </w:r>
      <w:r w:rsidR="00A30AD7">
        <w:t>.</w:t>
      </w:r>
      <w:r>
        <w:t>7</w:t>
      </w:r>
    </w:p>
    <w:p w14:paraId="664D27B3" w14:textId="1E2741E6" w:rsidR="00CA0ED3" w:rsidRDefault="00CA0ED3" w:rsidP="00CA0ED3">
      <w:r>
        <w:t>Treasury Bi</w:t>
      </w:r>
      <w:r w:rsidR="00115E7C">
        <w:t>lls</w:t>
      </w:r>
      <w:r w:rsidR="00115E7C">
        <w:tab/>
      </w:r>
      <w:r w:rsidR="00115E7C">
        <w:tab/>
        <w:t xml:space="preserve">            3.</w:t>
      </w:r>
      <w:r w:rsidR="0025228A">
        <w:t>3</w:t>
      </w:r>
      <w:r w:rsidR="002A02A8">
        <w:t xml:space="preserve">                           </w:t>
      </w:r>
      <w:r w:rsidR="0025228A">
        <w:t xml:space="preserve">         </w:t>
      </w:r>
      <w:r w:rsidR="00115E7C">
        <w:t xml:space="preserve"> </w:t>
      </w:r>
      <w:r>
        <w:t>3.1</w:t>
      </w:r>
    </w:p>
    <w:p w14:paraId="38F8DB17" w14:textId="77777777" w:rsidR="004A3103" w:rsidRDefault="004A3103" w:rsidP="004A3103"/>
    <w:p w14:paraId="3DF9CBC2" w14:textId="77777777" w:rsidR="00CA0ED3" w:rsidRDefault="00CA0ED3" w:rsidP="00CA0ED3">
      <w:r>
        <w:t xml:space="preserve">Note:  </w:t>
      </w:r>
      <w:r>
        <w:sym w:font="Symbol" w:char="F0AD"/>
      </w:r>
      <w:r>
        <w:sym w:font="Symbol" w:char="F073"/>
      </w:r>
      <w:r>
        <w:t xml:space="preserve">  </w:t>
      </w:r>
      <w:r>
        <w:sym w:font="Symbol" w:char="F0DE"/>
      </w:r>
      <w:r>
        <w:t xml:space="preserve">  </w:t>
      </w:r>
      <w:r>
        <w:sym w:font="Symbol" w:char="F0AD"/>
      </w:r>
      <w:r>
        <w:sym w:font="Symbol" w:char="F060"/>
      </w:r>
      <w:r w:rsidRPr="00B67819">
        <w:rPr>
          <w:position w:val="-4"/>
        </w:rPr>
        <w:object w:dxaOrig="260" w:dyaOrig="300" w14:anchorId="59E9B760">
          <v:shape id="_x0000_i1032" type="#_x0000_t75" style="width:12.75pt;height:15pt" o:ole="">
            <v:imagedata r:id="rId11" o:title=""/>
          </v:shape>
          <o:OLEObject Type="Embed" ProgID="Equation.3" ShapeID="_x0000_i1032" DrawAspect="Content" ObjectID="_1793521173" r:id="rId20"/>
        </w:object>
      </w:r>
    </w:p>
    <w:p w14:paraId="330AB97A" w14:textId="77777777" w:rsidR="004A3103" w:rsidRDefault="004A3103" w:rsidP="004A3103"/>
    <w:p w14:paraId="3D7A5BA8" w14:textId="77777777" w:rsidR="004A3103" w:rsidRDefault="004A3103" w:rsidP="004A3103">
      <w:r>
        <w:t>First Definition of Risk = Variability of Returns = Total Risk</w:t>
      </w:r>
    </w:p>
    <w:p w14:paraId="1A1B09CF" w14:textId="77777777" w:rsidR="004A3103" w:rsidRDefault="004A3103" w:rsidP="004A3103"/>
    <w:p w14:paraId="1A541282" w14:textId="77777777" w:rsidR="004A3103" w:rsidRDefault="004A3103" w:rsidP="004A3103">
      <w:r>
        <w:t>Basic Principle of Finance (one of them): There is a</w:t>
      </w:r>
      <w:r w:rsidR="004F3686">
        <w:t>n expected</w:t>
      </w:r>
      <w:r>
        <w:t xml:space="preserve"> reward for bearing risk.</w:t>
      </w:r>
    </w:p>
    <w:p w14:paraId="2656C392" w14:textId="77777777" w:rsidR="004A3103" w:rsidRDefault="004A3103" w:rsidP="004A3103"/>
    <w:p w14:paraId="6999704F" w14:textId="77777777" w:rsidR="004A3103" w:rsidRDefault="00F7759B" w:rsidP="004A3103">
      <w:r>
        <w:t>We use U.S</w:t>
      </w:r>
      <w:r w:rsidR="004A3103">
        <w:t>.</w:t>
      </w:r>
      <w:r>
        <w:t xml:space="preserve"> Treasur</w:t>
      </w:r>
      <w:r w:rsidR="00EC7D88">
        <w:t xml:space="preserve">y yields </w:t>
      </w:r>
      <w:r>
        <w:t>as our proxy for the risk-free rate.</w:t>
      </w:r>
    </w:p>
    <w:p w14:paraId="3E767059" w14:textId="77777777" w:rsidR="004A3103" w:rsidRDefault="00CA0ED3" w:rsidP="004A3103">
      <w:r>
        <w:t>Any return greater than a treasury’s</w:t>
      </w:r>
      <w:r w:rsidR="004A3103">
        <w:t xml:space="preserve"> return is a reward for bearing risk – We call it </w:t>
      </w:r>
    </w:p>
    <w:p w14:paraId="60C0E484" w14:textId="77777777" w:rsidR="004A3103" w:rsidRDefault="004A3103" w:rsidP="004A3103">
      <w:r>
        <w:t xml:space="preserve">a </w:t>
      </w:r>
      <w:proofErr w:type="gramStart"/>
      <w:r>
        <w:t>risk-premium</w:t>
      </w:r>
      <w:proofErr w:type="gramEnd"/>
      <w:r>
        <w:t>.</w:t>
      </w:r>
    </w:p>
    <w:p w14:paraId="630B8227" w14:textId="77777777" w:rsidR="00993A1D" w:rsidRDefault="00993A1D" w:rsidP="004A3103">
      <w:r>
        <w:t>The risk premium you come up with is determined, in part, by how you measure it.</w:t>
      </w:r>
      <w:r w:rsidR="00F02B19">
        <w:t xml:space="preserve"> </w:t>
      </w:r>
    </w:p>
    <w:p w14:paraId="4B8D0914" w14:textId="335BCCCB" w:rsidR="00F02B19" w:rsidRDefault="002A02A8" w:rsidP="004A3103">
      <w:r>
        <w:t>Do we use 1926</w:t>
      </w:r>
      <w:r w:rsidR="00A30AD7">
        <w:t>-20</w:t>
      </w:r>
      <w:r w:rsidR="0025228A">
        <w:t>20</w:t>
      </w:r>
      <w:r w:rsidR="00F02B19">
        <w:t xml:space="preserve">, or some other time period? </w:t>
      </w:r>
    </w:p>
    <w:p w14:paraId="7CA22837" w14:textId="77777777" w:rsidR="00F02B19" w:rsidRDefault="00F02B19" w:rsidP="004A3103">
      <w:r>
        <w:t xml:space="preserve">Arithmetic mean or geometric mean returns? </w:t>
      </w:r>
    </w:p>
    <w:p w14:paraId="73EDD205" w14:textId="77777777" w:rsidR="00F02B19" w:rsidRDefault="00F7759B" w:rsidP="004A3103">
      <w:r>
        <w:t>Treasury Bond or Treasury Bill yields</w:t>
      </w:r>
      <w:r w:rsidR="00F02B19">
        <w:t xml:space="preserve"> as the risk-free rate?</w:t>
      </w:r>
    </w:p>
    <w:p w14:paraId="059EF664" w14:textId="77777777" w:rsidR="00993A1D" w:rsidRDefault="00F02B19" w:rsidP="004A3103">
      <w:r>
        <w:t xml:space="preserve">The key is – what do you </w:t>
      </w:r>
      <w:r w:rsidRPr="00115E7C">
        <w:rPr>
          <w:b/>
        </w:rPr>
        <w:t>expect</w:t>
      </w:r>
      <w:r>
        <w:t xml:space="preserve"> the risk premium to be in the </w:t>
      </w:r>
      <w:r w:rsidRPr="00F02B19">
        <w:rPr>
          <w:b/>
        </w:rPr>
        <w:t>future</w:t>
      </w:r>
      <w:r>
        <w:t>?</w:t>
      </w:r>
    </w:p>
    <w:p w14:paraId="3E5F1572" w14:textId="77777777" w:rsidR="00993A1D" w:rsidRDefault="00993A1D" w:rsidP="00993A1D">
      <w:r>
        <w:t xml:space="preserve">The generally accepted risk premium for the S&amp;P 500 is usually </w:t>
      </w:r>
      <w:r w:rsidR="00CA0ED3">
        <w:t>between 2% and 8</w:t>
      </w:r>
      <w:r w:rsidR="00CF25E7">
        <w:t>%. For uniformity, we will use</w:t>
      </w:r>
      <w:r>
        <w:t xml:space="preserve"> 5.7%</w:t>
      </w:r>
      <w:r w:rsidR="00CF25E7">
        <w:t xml:space="preserve"> in most of our examples.</w:t>
      </w:r>
    </w:p>
    <w:p w14:paraId="60C69C51" w14:textId="77777777" w:rsidR="00993A1D" w:rsidRDefault="00993A1D" w:rsidP="004A3103"/>
    <w:p w14:paraId="3E67AA77" w14:textId="77777777" w:rsidR="004A3103" w:rsidRDefault="004A3103" w:rsidP="004A3103"/>
    <w:p w14:paraId="2A03654F" w14:textId="77777777" w:rsidR="004A3103" w:rsidRDefault="004A3103" w:rsidP="004A3103">
      <w:r>
        <w:t>What does Standard Deviation mean?</w:t>
      </w:r>
    </w:p>
    <w:p w14:paraId="5F524583" w14:textId="77777777" w:rsidR="004A3103" w:rsidRDefault="004A3103" w:rsidP="004A3103"/>
    <w:p w14:paraId="7241AD2B" w14:textId="77777777" w:rsidR="004A3103" w:rsidRDefault="004A3103" w:rsidP="004A3103">
      <w:r>
        <w:t>If we assume a normal distribution for the</w:t>
      </w:r>
      <w:r w:rsidR="00226B29">
        <w:t xml:space="preserve"> population (note that these 88</w:t>
      </w:r>
      <w:r>
        <w:t xml:space="preserve"> years are a sampling from that population), then we can predict the probability of a single year’s return for each security type.</w:t>
      </w:r>
    </w:p>
    <w:p w14:paraId="5C9D511E" w14:textId="77777777" w:rsidR="004A3103" w:rsidRDefault="004A3103" w:rsidP="004A3103"/>
    <w:p w14:paraId="1A3DC78A" w14:textId="77777777" w:rsidR="004A3103" w:rsidRDefault="004A3103" w:rsidP="004A3103">
      <w:r>
        <w:t xml:space="preserve">Note: When we look at </w:t>
      </w:r>
      <w:r>
        <w:rPr>
          <w:u w:val="single"/>
        </w:rPr>
        <w:t>this</w:t>
      </w:r>
      <w:r>
        <w:t xml:space="preserve"> year’s probabilities, we don’t look at the historic </w:t>
      </w:r>
      <w:r w:rsidR="00115E7C">
        <w:t>treasury yield</w:t>
      </w:r>
      <w:r>
        <w:t xml:space="preserve"> as the risk-free rate. We look at </w:t>
      </w:r>
      <w:r>
        <w:rPr>
          <w:u w:val="single"/>
        </w:rPr>
        <w:t>today’s</w:t>
      </w:r>
      <w:r>
        <w:t xml:space="preserve"> </w:t>
      </w:r>
      <w:r w:rsidR="00B22FF1">
        <w:t>treasury yield.</w:t>
      </w:r>
      <w:r w:rsidR="00CA0ED3">
        <w:t xml:space="preserve"> </w:t>
      </w:r>
      <w:r w:rsidR="00B22FF1">
        <w:t>Let’s say that it’s</w:t>
      </w:r>
      <w:r w:rsidR="00CA0ED3">
        <w:t xml:space="preserve"> approximately 3</w:t>
      </w:r>
      <w:r>
        <w:t>%.</w:t>
      </w:r>
    </w:p>
    <w:p w14:paraId="4F1CB23A" w14:textId="77777777" w:rsidR="004A3103" w:rsidRDefault="004A3103" w:rsidP="004A3103"/>
    <w:p w14:paraId="1AEE44A6" w14:textId="77777777" w:rsidR="004A3103" w:rsidRDefault="004A3103" w:rsidP="004A3103">
      <w:r>
        <w:t>So, using this method, the most likely return for stocks this year is:</w:t>
      </w:r>
    </w:p>
    <w:p w14:paraId="41CC4528" w14:textId="77777777" w:rsidR="004A3103" w:rsidRDefault="004A3103" w:rsidP="004A3103"/>
    <w:p w14:paraId="5485F9DB" w14:textId="77777777" w:rsidR="004A3103" w:rsidRDefault="00CA0ED3" w:rsidP="004A3103">
      <w:r>
        <w:t xml:space="preserve">     3</w:t>
      </w:r>
      <w:r w:rsidR="009F3458">
        <w:t>.0</w:t>
      </w:r>
      <w:r w:rsidR="004A3103">
        <w:t xml:space="preserve">%      </w:t>
      </w:r>
      <w:r w:rsidR="001908AF">
        <w:t xml:space="preserve">Current </w:t>
      </w:r>
      <w:r w:rsidR="004A3103">
        <w:t>Risk-free Rate</w:t>
      </w:r>
    </w:p>
    <w:p w14:paraId="32CF16BC" w14:textId="77777777" w:rsidR="004A3103" w:rsidRDefault="004A3103" w:rsidP="004A3103">
      <w:r>
        <w:t xml:space="preserve">  </w:t>
      </w:r>
      <w:r w:rsidR="00993A1D">
        <w:rPr>
          <w:u w:val="single"/>
        </w:rPr>
        <w:t>+ 5.7</w:t>
      </w:r>
      <w:r>
        <w:rPr>
          <w:u w:val="single"/>
        </w:rPr>
        <w:t>%</w:t>
      </w:r>
      <w:r>
        <w:t xml:space="preserve">      Historic Risk Premium</w:t>
      </w:r>
    </w:p>
    <w:p w14:paraId="4DA7EB69" w14:textId="77777777" w:rsidR="004A3103" w:rsidRDefault="00CA0ED3" w:rsidP="004A3103">
      <w:pPr>
        <w:pStyle w:val="BodyText"/>
      </w:pPr>
      <w:r>
        <w:t xml:space="preserve">     8</w:t>
      </w:r>
      <w:r w:rsidR="00993A1D">
        <w:t>.7</w:t>
      </w:r>
      <w:r w:rsidR="004A3103">
        <w:t xml:space="preserve">%    </w:t>
      </w:r>
      <w:r w:rsidR="001908AF">
        <w:t xml:space="preserve"> </w:t>
      </w:r>
      <w:r w:rsidR="004A3103">
        <w:t xml:space="preserve"> Expected Return for Stocks  -  Middle of the Prob. </w:t>
      </w:r>
      <w:proofErr w:type="spellStart"/>
      <w:r w:rsidR="004A3103">
        <w:t>Distrib</w:t>
      </w:r>
      <w:proofErr w:type="spellEnd"/>
      <w:r w:rsidR="004A3103">
        <w:t>.</w:t>
      </w:r>
    </w:p>
    <w:p w14:paraId="3DFEEF11" w14:textId="77777777" w:rsidR="00251B4D" w:rsidRDefault="00251B4D" w:rsidP="004A3103">
      <w:pPr>
        <w:pStyle w:val="BodyText"/>
      </w:pPr>
    </w:p>
    <w:p w14:paraId="7826236F" w14:textId="2A0F78E8" w:rsidR="00251B4D" w:rsidRDefault="00251B4D" w:rsidP="004A3103">
      <w:pPr>
        <w:pStyle w:val="BodyText"/>
      </w:pPr>
      <w:r>
        <w:t xml:space="preserve">And since about 2/3 of the probability distribution lies within one standard deviation of the expected value, we can say that there is a 2/3 chance that the S&amp;P 500 </w:t>
      </w:r>
      <w:r w:rsidR="00CA0ED3">
        <w:t>will post a return between -</w:t>
      </w:r>
      <w:r w:rsidR="00EA7BD4">
        <w:t>11</w:t>
      </w:r>
      <w:r w:rsidR="00226B29">
        <w:t xml:space="preserve">% and </w:t>
      </w:r>
      <w:r w:rsidR="00EA7BD4">
        <w:t>28</w:t>
      </w:r>
      <w:r w:rsidR="00226B29">
        <w:t>.</w:t>
      </w:r>
      <w:r w:rsidR="00EA7BD4">
        <w:t>4</w:t>
      </w:r>
      <w:r w:rsidR="00E329D6">
        <w:t>% this coming year.</w:t>
      </w:r>
    </w:p>
    <w:p w14:paraId="6A2A455E" w14:textId="77777777" w:rsidR="00E329D6" w:rsidRDefault="00E329D6" w:rsidP="004A3103">
      <w:pPr>
        <w:pStyle w:val="BodyText"/>
      </w:pPr>
    </w:p>
    <w:p w14:paraId="72B424A7" w14:textId="77777777" w:rsidR="007E096A" w:rsidRDefault="007E096A" w:rsidP="004A3103">
      <w:pPr>
        <w:pStyle w:val="BodyText"/>
      </w:pPr>
    </w:p>
    <w:p w14:paraId="03EEFE07" w14:textId="31DEDDB9" w:rsidR="004C0FA0" w:rsidRDefault="007E096A">
      <w:r>
        <w:t xml:space="preserve">Suppose you wanted to know what is the probability that </w:t>
      </w:r>
      <w:r w:rsidR="006B4E36">
        <w:t>the S&amp;P 500</w:t>
      </w:r>
      <w:r>
        <w:t xml:space="preserve"> will return more than 25% next year. </w:t>
      </w:r>
    </w:p>
    <w:p w14:paraId="029400A1" w14:textId="77777777" w:rsidR="007E096A" w:rsidRDefault="007E096A"/>
    <w:p w14:paraId="02E8C8CE" w14:textId="1E2CB135" w:rsidR="007E096A" w:rsidRDefault="007E096A">
      <w:r>
        <w:t xml:space="preserve">If we assume that returns are normally distributed (they aren’t, but it is close enough for this sort of an exercise), we want to find the area of the probability distribution to the </w:t>
      </w:r>
      <w:r w:rsidR="00B309C1">
        <w:t xml:space="preserve">right of 25% when the mean is </w:t>
      </w:r>
      <w:r w:rsidR="00BD76DB">
        <w:t>8</w:t>
      </w:r>
      <w:r>
        <w:t>.7% an</w:t>
      </w:r>
      <w:r w:rsidR="00226B29">
        <w:t xml:space="preserve">d the standard deviation is </w:t>
      </w:r>
      <w:r w:rsidR="006B4E36">
        <w:t>19</w:t>
      </w:r>
      <w:r w:rsidR="00226B29">
        <w:t>.</w:t>
      </w:r>
      <w:r w:rsidR="006B4E36">
        <w:t>7</w:t>
      </w:r>
      <w:r>
        <w:t>%. As you remember from statistics, this involves calculating z-values and perhaps using tables to find the area under the curve. Fortunately, Excel does all this for us. If we go to NORMDIST in the Excel functions, it asks us for the value of X – which is the point we are looking for (in this case, it is .25). Then, we enter the mean of t</w:t>
      </w:r>
      <w:r w:rsidR="00BD76DB">
        <w:t>he distribution (.08</w:t>
      </w:r>
      <w:r>
        <w:t xml:space="preserve">7) </w:t>
      </w:r>
      <w:r w:rsidR="002A02A8">
        <w:t>and the standard deviation (.</w:t>
      </w:r>
      <w:r w:rsidR="006B4E36">
        <w:t>197</w:t>
      </w:r>
      <w:r>
        <w:t xml:space="preserve">). Finally, under Cumulative, enter True. </w:t>
      </w:r>
    </w:p>
    <w:p w14:paraId="376C2FAD" w14:textId="77777777" w:rsidR="007E096A" w:rsidRDefault="007E096A"/>
    <w:p w14:paraId="4C6DCA19" w14:textId="175FB215" w:rsidR="004C0FA0" w:rsidRDefault="007E096A">
      <w:r>
        <w:t>The result will be the area under the normal curve to the left of the point in question (in our example, the probability you will get a retur</w:t>
      </w:r>
      <w:r w:rsidR="00BD76DB">
        <w:t>n that is less than 25%</w:t>
      </w:r>
      <w:r w:rsidR="00226B29">
        <w:t xml:space="preserve"> is .79</w:t>
      </w:r>
      <w:r w:rsidR="006B4E36">
        <w:t>6</w:t>
      </w:r>
      <w:r w:rsidR="00BD76DB">
        <w:t xml:space="preserve"> – or </w:t>
      </w:r>
      <w:r w:rsidR="001908AF">
        <w:t xml:space="preserve">about </w:t>
      </w:r>
      <w:r w:rsidR="00BD76DB">
        <w:t>79</w:t>
      </w:r>
      <w:r w:rsidR="006B4E36">
        <w:t>.6</w:t>
      </w:r>
      <w:r>
        <w:t>%). To find the area to the right, just subtract that value from 1.0.</w:t>
      </w:r>
      <w:r w:rsidR="00BD76DB">
        <w:t xml:space="preserve"> </w:t>
      </w:r>
      <w:proofErr w:type="gramStart"/>
      <w:r w:rsidR="00BD76DB">
        <w:t>So</w:t>
      </w:r>
      <w:proofErr w:type="gramEnd"/>
      <w:r w:rsidR="00BD76DB">
        <w:t xml:space="preserve"> there is about a 2</w:t>
      </w:r>
      <w:r w:rsidR="006B4E36">
        <w:t>0.4</w:t>
      </w:r>
      <w:r>
        <w:t xml:space="preserve">% chance that </w:t>
      </w:r>
      <w:r w:rsidR="006B4E36">
        <w:t>the S&amp;P</w:t>
      </w:r>
      <w:r>
        <w:t xml:space="preserve"> will earn a return greater than 25% next year. </w:t>
      </w:r>
    </w:p>
    <w:sectPr w:rsidR="004C0FA0">
      <w:footerReference w:type="even"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CF31D" w14:textId="77777777" w:rsidR="00F111FE" w:rsidRDefault="00F111FE">
      <w:r>
        <w:separator/>
      </w:r>
    </w:p>
  </w:endnote>
  <w:endnote w:type="continuationSeparator" w:id="0">
    <w:p w14:paraId="2618F6CC" w14:textId="77777777" w:rsidR="00F111FE" w:rsidRDefault="00F1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85E6" w14:textId="77777777" w:rsidR="0085262F" w:rsidRDefault="0085262F" w:rsidP="00BC0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97CC8" w14:textId="77777777" w:rsidR="0085262F" w:rsidRDefault="0085262F" w:rsidP="00852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1112" w14:textId="77777777" w:rsidR="0085262F" w:rsidRDefault="0085262F" w:rsidP="00BC0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B29">
      <w:rPr>
        <w:rStyle w:val="PageNumber"/>
        <w:noProof/>
      </w:rPr>
      <w:t>1</w:t>
    </w:r>
    <w:r>
      <w:rPr>
        <w:rStyle w:val="PageNumber"/>
      </w:rPr>
      <w:fldChar w:fldCharType="end"/>
    </w:r>
  </w:p>
  <w:p w14:paraId="5A788214" w14:textId="77777777" w:rsidR="0085262F" w:rsidRDefault="0085262F" w:rsidP="008526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E43C0" w14:textId="77777777" w:rsidR="00F111FE" w:rsidRDefault="00F111FE">
      <w:r>
        <w:separator/>
      </w:r>
    </w:p>
  </w:footnote>
  <w:footnote w:type="continuationSeparator" w:id="0">
    <w:p w14:paraId="3AE45564" w14:textId="77777777" w:rsidR="00F111FE" w:rsidRDefault="00F11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3"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4"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5"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6"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2"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16cid:durableId="2021739515">
    <w:abstractNumId w:val="23"/>
  </w:num>
  <w:num w:numId="2" w16cid:durableId="1573849193">
    <w:abstractNumId w:val="18"/>
  </w:num>
  <w:num w:numId="3" w16cid:durableId="473453170">
    <w:abstractNumId w:val="5"/>
  </w:num>
  <w:num w:numId="4" w16cid:durableId="209269865">
    <w:abstractNumId w:val="17"/>
  </w:num>
  <w:num w:numId="5" w16cid:durableId="543641722">
    <w:abstractNumId w:val="2"/>
  </w:num>
  <w:num w:numId="6" w16cid:durableId="456140121">
    <w:abstractNumId w:val="20"/>
  </w:num>
  <w:num w:numId="7" w16cid:durableId="1871064007">
    <w:abstractNumId w:val="11"/>
  </w:num>
  <w:num w:numId="8" w16cid:durableId="211311334">
    <w:abstractNumId w:val="19"/>
  </w:num>
  <w:num w:numId="9" w16cid:durableId="475998625">
    <w:abstractNumId w:val="16"/>
  </w:num>
  <w:num w:numId="10" w16cid:durableId="1660617979">
    <w:abstractNumId w:val="22"/>
  </w:num>
  <w:num w:numId="11" w16cid:durableId="1122304989">
    <w:abstractNumId w:val="8"/>
  </w:num>
  <w:num w:numId="12" w16cid:durableId="1753425960">
    <w:abstractNumId w:val="10"/>
  </w:num>
  <w:num w:numId="13" w16cid:durableId="687635549">
    <w:abstractNumId w:val="4"/>
  </w:num>
  <w:num w:numId="14" w16cid:durableId="1193301388">
    <w:abstractNumId w:val="21"/>
  </w:num>
  <w:num w:numId="15" w16cid:durableId="822358472">
    <w:abstractNumId w:val="13"/>
  </w:num>
  <w:num w:numId="16" w16cid:durableId="1180660720">
    <w:abstractNumId w:val="3"/>
  </w:num>
  <w:num w:numId="17" w16cid:durableId="1540119479">
    <w:abstractNumId w:val="6"/>
  </w:num>
  <w:num w:numId="18" w16cid:durableId="1985888862">
    <w:abstractNumId w:val="0"/>
  </w:num>
  <w:num w:numId="19" w16cid:durableId="288510913">
    <w:abstractNumId w:val="1"/>
  </w:num>
  <w:num w:numId="20" w16cid:durableId="2081638918">
    <w:abstractNumId w:val="12"/>
  </w:num>
  <w:num w:numId="21" w16cid:durableId="182746996">
    <w:abstractNumId w:val="14"/>
  </w:num>
  <w:num w:numId="22" w16cid:durableId="1926306875">
    <w:abstractNumId w:val="7"/>
  </w:num>
  <w:num w:numId="23" w16cid:durableId="1849754452">
    <w:abstractNumId w:val="24"/>
  </w:num>
  <w:num w:numId="24" w16cid:durableId="936329382">
    <w:abstractNumId w:val="15"/>
  </w:num>
  <w:num w:numId="25" w16cid:durableId="587275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103"/>
    <w:rsid w:val="00044F56"/>
    <w:rsid w:val="000B5708"/>
    <w:rsid w:val="00115E7C"/>
    <w:rsid w:val="001908AF"/>
    <w:rsid w:val="00226B29"/>
    <w:rsid w:val="0024138D"/>
    <w:rsid w:val="00251B4D"/>
    <w:rsid w:val="0025228A"/>
    <w:rsid w:val="002A02A8"/>
    <w:rsid w:val="002A54F4"/>
    <w:rsid w:val="00306BCB"/>
    <w:rsid w:val="00381F5D"/>
    <w:rsid w:val="003E5D14"/>
    <w:rsid w:val="004A3103"/>
    <w:rsid w:val="004C0FA0"/>
    <w:rsid w:val="004F3686"/>
    <w:rsid w:val="00510C2D"/>
    <w:rsid w:val="005325C2"/>
    <w:rsid w:val="006B4E36"/>
    <w:rsid w:val="00700C48"/>
    <w:rsid w:val="00755BD1"/>
    <w:rsid w:val="007B1627"/>
    <w:rsid w:val="007D4EF3"/>
    <w:rsid w:val="007E096A"/>
    <w:rsid w:val="008016D1"/>
    <w:rsid w:val="008359C3"/>
    <w:rsid w:val="00846350"/>
    <w:rsid w:val="0085262F"/>
    <w:rsid w:val="008D08B1"/>
    <w:rsid w:val="008F2173"/>
    <w:rsid w:val="00911B08"/>
    <w:rsid w:val="00914EC3"/>
    <w:rsid w:val="00993A1D"/>
    <w:rsid w:val="009E45E5"/>
    <w:rsid w:val="009F3458"/>
    <w:rsid w:val="00A30AD7"/>
    <w:rsid w:val="00A4582B"/>
    <w:rsid w:val="00A6653F"/>
    <w:rsid w:val="00A710F1"/>
    <w:rsid w:val="00A96A85"/>
    <w:rsid w:val="00AE34ED"/>
    <w:rsid w:val="00B04912"/>
    <w:rsid w:val="00B17857"/>
    <w:rsid w:val="00B22FF1"/>
    <w:rsid w:val="00B309C1"/>
    <w:rsid w:val="00B54597"/>
    <w:rsid w:val="00B56CB9"/>
    <w:rsid w:val="00B6509F"/>
    <w:rsid w:val="00BC0461"/>
    <w:rsid w:val="00BD76DB"/>
    <w:rsid w:val="00C516FA"/>
    <w:rsid w:val="00CA0ED3"/>
    <w:rsid w:val="00CF25E7"/>
    <w:rsid w:val="00E329D6"/>
    <w:rsid w:val="00E834AF"/>
    <w:rsid w:val="00EA7BD4"/>
    <w:rsid w:val="00EC7D88"/>
    <w:rsid w:val="00ED7BDC"/>
    <w:rsid w:val="00F02B19"/>
    <w:rsid w:val="00F111FE"/>
    <w:rsid w:val="00F42942"/>
    <w:rsid w:val="00F7759B"/>
    <w:rsid w:val="00FC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CED53A"/>
  <w15:docId w15:val="{4C935E47-BDF8-4CB0-B445-94918409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Footer">
    <w:name w:val="footer"/>
    <w:basedOn w:val="Normal"/>
    <w:rsid w:val="0085262F"/>
    <w:pPr>
      <w:tabs>
        <w:tab w:val="center" w:pos="4320"/>
        <w:tab w:val="right" w:pos="8640"/>
      </w:tabs>
    </w:pPr>
  </w:style>
  <w:style w:type="character" w:styleId="PageNumber">
    <w:name w:val="page number"/>
    <w:basedOn w:val="DefaultParagraphFont"/>
    <w:rsid w:val="0085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Chapter 9</vt:lpstr>
    </vt:vector>
  </TitlesOfParts>
  <Company>tulane</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creator>William A. Reese, Jr.</dc:creator>
  <cp:lastModifiedBy>Reese, William A</cp:lastModifiedBy>
  <cp:revision>3</cp:revision>
  <cp:lastPrinted>2000-11-06T15:43:00Z</cp:lastPrinted>
  <dcterms:created xsi:type="dcterms:W3CDTF">2022-11-02T20:02:00Z</dcterms:created>
  <dcterms:modified xsi:type="dcterms:W3CDTF">2024-11-19T17:33:00Z</dcterms:modified>
</cp:coreProperties>
</file>